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C8148" w14:textId="33EB58BE" w:rsidR="00A71AE5" w:rsidRPr="00A71AE5" w:rsidRDefault="00A71AE5" w:rsidP="00742782">
      <w:pPr>
        <w:pStyle w:val="Heading2"/>
        <w:jc w:val="both"/>
        <w:rPr>
          <w:b/>
        </w:rPr>
      </w:pPr>
      <w:r w:rsidRPr="006F5447">
        <w:rPr>
          <w:b/>
          <w:sz w:val="36"/>
          <w:szCs w:val="36"/>
        </w:rPr>
        <w:t>Individual Visualisation, Student Number: 25049107</w:t>
      </w:r>
    </w:p>
    <w:p w14:paraId="5524D9B2" w14:textId="32E977A9" w:rsidR="00A71AE5" w:rsidRPr="00A71AE5" w:rsidRDefault="00A71AE5" w:rsidP="00742782">
      <w:pPr>
        <w:jc w:val="both"/>
        <w:rPr>
          <w:b/>
          <w:bCs/>
        </w:rPr>
      </w:pPr>
      <w:r w:rsidRPr="00A71AE5">
        <w:rPr>
          <w:b/>
          <w:bCs/>
        </w:rPr>
        <w:t xml:space="preserve">Domestic </w:t>
      </w:r>
      <w:r w:rsidR="005E1C70">
        <w:rPr>
          <w:b/>
          <w:bCs/>
        </w:rPr>
        <w:t>energy</w:t>
      </w:r>
      <w:r w:rsidRPr="00A71AE5">
        <w:rPr>
          <w:b/>
          <w:bCs/>
        </w:rPr>
        <w:t xml:space="preserve"> consumption across England &amp; Wales, 2015 – 2024 </w:t>
      </w:r>
    </w:p>
    <w:p w14:paraId="46E23FFB" w14:textId="5CB75DCD" w:rsidR="00A71AE5" w:rsidRDefault="00CF77D1" w:rsidP="00742782">
      <w:pPr>
        <w:pStyle w:val="Heading2"/>
        <w:jc w:val="both"/>
        <w:rPr>
          <w:b/>
        </w:rPr>
      </w:pPr>
      <w:r>
        <w:rPr>
          <w:b/>
        </w:rPr>
        <w:t>Overview</w:t>
      </w:r>
    </w:p>
    <w:p w14:paraId="5A4C05E2" w14:textId="77BB124B" w:rsidR="001165F9" w:rsidRDefault="001165F9" w:rsidP="00742782">
      <w:pPr>
        <w:jc w:val="both"/>
      </w:pPr>
      <w:r w:rsidRPr="000B2137">
        <w:t xml:space="preserve">This visualization </w:t>
      </w:r>
      <w:r>
        <w:t>provides an interactive map on the spatial distribution</w:t>
      </w:r>
      <w:r w:rsidRPr="000B2137">
        <w:t xml:space="preserve"> of domestic energy consumption across England and Wales (2015–2024). By integrating </w:t>
      </w:r>
      <w:r>
        <w:t>average</w:t>
      </w:r>
      <w:r w:rsidRPr="000B2137">
        <w:t xml:space="preserve"> gas and electricity consumption data from the </w:t>
      </w:r>
      <w:r w:rsidRPr="001165F9">
        <w:t>Department for Energy Security and Net Zero (DESNZ) with Energy Performance Certificate (EPC)</w:t>
      </w:r>
      <w:r w:rsidRPr="000B2137">
        <w:t xml:space="preserve"> distributions, </w:t>
      </w:r>
      <w:r>
        <w:t>this visualisation</w:t>
      </w:r>
      <w:r w:rsidRPr="000B2137">
        <w:t xml:space="preserve"> </w:t>
      </w:r>
      <w:r>
        <w:t xml:space="preserve">provides insight into possible consumption hotspots and energy efficiency standards in urban settlements. </w:t>
      </w:r>
      <w:r w:rsidRPr="000B2137">
        <w:t>This</w:t>
      </w:r>
      <w:r>
        <w:t xml:space="preserve"> </w:t>
      </w:r>
      <w:r w:rsidR="00A52A59">
        <w:t>adds to the discourse in</w:t>
      </w:r>
      <w:r>
        <w:t xml:space="preserve"> urban science on </w:t>
      </w:r>
      <w:r w:rsidRPr="000B2137">
        <w:t xml:space="preserve">local progress </w:t>
      </w:r>
      <w:r>
        <w:t>toward</w:t>
      </w:r>
      <w:r w:rsidRPr="000B2137">
        <w:t xml:space="preserve"> national net-zero targets and highlights areas where poor housing quality </w:t>
      </w:r>
      <w:r>
        <w:t xml:space="preserve">may </w:t>
      </w:r>
      <w:r w:rsidRPr="000B2137">
        <w:t>correlate with</w:t>
      </w:r>
      <w:r>
        <w:t xml:space="preserve"> a</w:t>
      </w:r>
      <w:r w:rsidRPr="000B2137">
        <w:t xml:space="preserve"> high</w:t>
      </w:r>
      <w:r>
        <w:t>er</w:t>
      </w:r>
      <w:r w:rsidRPr="000B2137">
        <w:t xml:space="preserve"> energy burden</w:t>
      </w:r>
      <w:r w:rsidR="00263618">
        <w:t xml:space="preserve"> (e.g. peri-urban areas)</w:t>
      </w:r>
      <w:r w:rsidRPr="000B2137">
        <w:t>.</w:t>
      </w:r>
    </w:p>
    <w:p w14:paraId="7EE5FCD7" w14:textId="0DCE7F07" w:rsidR="00894926" w:rsidRDefault="0096344F" w:rsidP="00742782">
      <w:pPr>
        <w:jc w:val="both"/>
      </w:pPr>
      <w:r w:rsidRPr="0096344F">
        <w:drawing>
          <wp:inline distT="0" distB="0" distL="0" distR="0" wp14:anchorId="45EBE557" wp14:editId="64D43BC3">
            <wp:extent cx="5836920" cy="3166745"/>
            <wp:effectExtent l="0" t="0" r="0" b="0"/>
            <wp:docPr id="100788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9804" name=""/>
                    <pic:cNvPicPr/>
                  </pic:nvPicPr>
                  <pic:blipFill>
                    <a:blip r:embed="rId6">
                      <a:extLst>
                        <a:ext uri="{BEBA8EAE-BF5A-486C-A8C5-ECC9F3942E4B}">
                          <a14:imgProps xmlns:a14="http://schemas.microsoft.com/office/drawing/2010/main">
                            <a14:imgLayer r:embed="rId7">
                              <a14:imgEffect>
                                <a14:brightnessContrast bright="10000"/>
                              </a14:imgEffect>
                            </a14:imgLayer>
                          </a14:imgProps>
                        </a:ext>
                      </a:extLst>
                    </a:blip>
                    <a:stretch>
                      <a:fillRect/>
                    </a:stretch>
                  </pic:blipFill>
                  <pic:spPr>
                    <a:xfrm>
                      <a:off x="0" y="0"/>
                      <a:ext cx="5836920" cy="3166745"/>
                    </a:xfrm>
                    <a:prstGeom prst="rect">
                      <a:avLst/>
                    </a:prstGeom>
                  </pic:spPr>
                </pic:pic>
              </a:graphicData>
            </a:graphic>
          </wp:inline>
        </w:drawing>
      </w:r>
    </w:p>
    <w:p w14:paraId="357E4E6D" w14:textId="0D0461C0" w:rsidR="00894926" w:rsidRPr="00894926" w:rsidRDefault="00894926" w:rsidP="00894926">
      <w:pPr>
        <w:jc w:val="center"/>
        <w:rPr>
          <w:i/>
          <w:iCs/>
        </w:rPr>
      </w:pPr>
      <w:r w:rsidRPr="00894926">
        <w:rPr>
          <w:i/>
          <w:iCs/>
        </w:rPr>
        <w:t>Figure 1: Interactive Map of Gas Consumption at Local Authority Scale</w:t>
      </w:r>
    </w:p>
    <w:p w14:paraId="7C01F7FB" w14:textId="2C78440D" w:rsidR="00021254" w:rsidRDefault="00021254" w:rsidP="00742782">
      <w:pPr>
        <w:jc w:val="both"/>
      </w:pPr>
      <w:r>
        <w:t xml:space="preserve">The </w:t>
      </w:r>
      <w:r w:rsidR="007E21EA">
        <w:t>map</w:t>
      </w:r>
      <w:r>
        <w:t xml:space="preserve"> has been clipped to urban areas to show how energy consumption relates to urban geography and settlement size</w:t>
      </w:r>
      <w:r w:rsidR="00350B8D">
        <w:t xml:space="preserve"> and </w:t>
      </w:r>
      <w:r>
        <w:t xml:space="preserve">calibrated to provide a national overview and distribution and at a more local scale to understand specific trends. Interactive features </w:t>
      </w:r>
      <w:r w:rsidR="001165F9">
        <w:t xml:space="preserve">such as a (a) toggle between electricity and gas consumption, (b) slider to show </w:t>
      </w:r>
      <w:r w:rsidR="007E21EA">
        <w:t>temporal changes</w:t>
      </w:r>
      <w:r w:rsidR="001165F9">
        <w:t xml:space="preserve">, and (c) point-and-click function to illustrate trends and localised energy performance, </w:t>
      </w:r>
      <w:r>
        <w:t xml:space="preserve">provide the user </w:t>
      </w:r>
      <w:r w:rsidR="00A52A59">
        <w:t>opportunities</w:t>
      </w:r>
      <w:r>
        <w:t xml:space="preserve"> to </w:t>
      </w:r>
      <w:r w:rsidR="001165F9">
        <w:t xml:space="preserve">further </w:t>
      </w:r>
      <w:r>
        <w:t xml:space="preserve">investigate specific </w:t>
      </w:r>
      <w:r w:rsidR="00350B8D">
        <w:t xml:space="preserve">data </w:t>
      </w:r>
      <w:r>
        <w:t>aspects</w:t>
      </w:r>
      <w:r w:rsidR="001165F9">
        <w:t xml:space="preserve">. </w:t>
      </w:r>
    </w:p>
    <w:p w14:paraId="7A24131E" w14:textId="6454F3DF" w:rsidR="00894926" w:rsidRDefault="0096344F" w:rsidP="00742782">
      <w:pPr>
        <w:jc w:val="both"/>
      </w:pPr>
      <w:r w:rsidRPr="0096344F">
        <w:lastRenderedPageBreak/>
        <w:drawing>
          <wp:inline distT="0" distB="0" distL="0" distR="0" wp14:anchorId="2A1C9AC3" wp14:editId="00278837">
            <wp:extent cx="5836920" cy="3190240"/>
            <wp:effectExtent l="0" t="0" r="0" b="0"/>
            <wp:docPr id="162567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3208" name=""/>
                    <pic:cNvPicPr/>
                  </pic:nvPicPr>
                  <pic:blipFill>
                    <a:blip r:embed="rId8"/>
                    <a:stretch>
                      <a:fillRect/>
                    </a:stretch>
                  </pic:blipFill>
                  <pic:spPr>
                    <a:xfrm>
                      <a:off x="0" y="0"/>
                      <a:ext cx="5836920" cy="3190240"/>
                    </a:xfrm>
                    <a:prstGeom prst="rect">
                      <a:avLst/>
                    </a:prstGeom>
                  </pic:spPr>
                </pic:pic>
              </a:graphicData>
            </a:graphic>
          </wp:inline>
        </w:drawing>
      </w:r>
    </w:p>
    <w:p w14:paraId="6FFA6C2F" w14:textId="0AADA78C" w:rsidR="00894926" w:rsidRPr="00894926" w:rsidRDefault="00894926" w:rsidP="00894926">
      <w:pPr>
        <w:jc w:val="center"/>
        <w:rPr>
          <w:i/>
          <w:iCs/>
        </w:rPr>
      </w:pPr>
      <w:r w:rsidRPr="00894926">
        <w:rPr>
          <w:i/>
          <w:iCs/>
        </w:rPr>
        <w:t xml:space="preserve">Figure </w:t>
      </w:r>
      <w:r>
        <w:rPr>
          <w:i/>
          <w:iCs/>
        </w:rPr>
        <w:t xml:space="preserve">2: Point-and-click function </w:t>
      </w:r>
      <w:r w:rsidR="004D288E">
        <w:rPr>
          <w:i/>
          <w:iCs/>
        </w:rPr>
        <w:t xml:space="preserve">with Chart.js </w:t>
      </w:r>
      <w:r>
        <w:rPr>
          <w:i/>
          <w:iCs/>
        </w:rPr>
        <w:t xml:space="preserve">provides </w:t>
      </w:r>
      <w:r w:rsidR="004D288E">
        <w:rPr>
          <w:i/>
          <w:iCs/>
        </w:rPr>
        <w:t>opportunities for investigation</w:t>
      </w:r>
    </w:p>
    <w:p w14:paraId="286BEA1F" w14:textId="0F18F2C5" w:rsidR="00CF77D1" w:rsidRPr="000B2137" w:rsidRDefault="00CF77D1" w:rsidP="00742782">
      <w:pPr>
        <w:pStyle w:val="Heading2"/>
        <w:jc w:val="both"/>
        <w:rPr>
          <w:b/>
        </w:rPr>
      </w:pPr>
      <w:r w:rsidRPr="000B2137">
        <w:rPr>
          <w:b/>
        </w:rPr>
        <w:t>Technical Aspects</w:t>
      </w:r>
    </w:p>
    <w:p w14:paraId="79928DC5" w14:textId="77777777" w:rsidR="003C29D7" w:rsidRDefault="003C29D7" w:rsidP="00742782">
      <w:pPr>
        <w:jc w:val="both"/>
        <w:rPr>
          <w:i/>
          <w:iCs/>
        </w:rPr>
      </w:pPr>
      <w:r w:rsidRPr="00B430CA">
        <w:rPr>
          <w:i/>
          <w:iCs/>
        </w:rPr>
        <w:t xml:space="preserve">Data </w:t>
      </w:r>
      <w:r>
        <w:rPr>
          <w:i/>
          <w:iCs/>
        </w:rPr>
        <w:t>preparation</w:t>
      </w:r>
    </w:p>
    <w:p w14:paraId="6EEFB456" w14:textId="10EF719F" w:rsidR="00B430CA" w:rsidRDefault="00350B8D" w:rsidP="00742782">
      <w:pPr>
        <w:jc w:val="both"/>
      </w:pPr>
      <w:r w:rsidRPr="00350B8D">
        <w:t xml:space="preserve">Mean </w:t>
      </w:r>
      <w:r w:rsidR="007E21EA">
        <w:t>energy</w:t>
      </w:r>
      <w:r w:rsidRPr="00350B8D">
        <w:t xml:space="preserve"> consumption data at Middle Layer Super Output Area (MSOA) and Local Authority (LA) level from 2015 to 2024 were cleaned and joined to the latest available Census geographies for England and Wales (2021) using pandas and geopandas in Python. This timeframe was selected to provide sufficient temporal coverage for trend analysis whilst minimising data </w:t>
      </w:r>
      <w:r w:rsidR="007E21EA">
        <w:t>processing assumptions</w:t>
      </w:r>
      <w:r w:rsidRPr="00350B8D">
        <w:t xml:space="preserve"> required to harmonise historical consumption data </w:t>
      </w:r>
      <w:r w:rsidR="007E21EA">
        <w:t xml:space="preserve">(pre-2015) </w:t>
      </w:r>
      <w:r w:rsidRPr="00350B8D">
        <w:t>with updated MSOA and LA boundary definitions.</w:t>
      </w:r>
      <w:r>
        <w:t xml:space="preserve"> </w:t>
      </w:r>
      <w:r w:rsidR="00A52A59">
        <w:t>Similarly, d</w:t>
      </w:r>
      <w:r w:rsidR="00B430CA">
        <w:t xml:space="preserve">ata on EPC certificates </w:t>
      </w:r>
      <w:r w:rsidR="00A52A59">
        <w:t xml:space="preserve">from 2018-2025 </w:t>
      </w:r>
      <w:r w:rsidR="00B430CA">
        <w:t>were</w:t>
      </w:r>
      <w:r w:rsidR="00A52A59">
        <w:t xml:space="preserve"> summarised for their respective MSOA and LA boundaries. </w:t>
      </w:r>
      <w:r w:rsidR="00B430CA">
        <w:t xml:space="preserve"> </w:t>
      </w:r>
    </w:p>
    <w:p w14:paraId="43475635" w14:textId="39A67777" w:rsidR="00B430CA" w:rsidRDefault="00B430CA" w:rsidP="00742782">
      <w:pPr>
        <w:jc w:val="both"/>
        <w:rPr>
          <w:i/>
          <w:iCs/>
        </w:rPr>
      </w:pPr>
      <w:r w:rsidRPr="00B430CA">
        <w:rPr>
          <w:i/>
          <w:iCs/>
        </w:rPr>
        <w:t xml:space="preserve">Data scales </w:t>
      </w:r>
    </w:p>
    <w:p w14:paraId="6D8341B4" w14:textId="1AB576B7" w:rsidR="00A52A59" w:rsidRPr="000B2137" w:rsidRDefault="00A52A59" w:rsidP="00742782">
      <w:pPr>
        <w:jc w:val="both"/>
      </w:pPr>
      <w:r w:rsidRPr="000B2137">
        <w:t xml:space="preserve">To optimize for web performance, </w:t>
      </w:r>
      <w:r>
        <w:t xml:space="preserve">the following steps were undertaken in QGIS: </w:t>
      </w:r>
    </w:p>
    <w:p w14:paraId="5F7C8788" w14:textId="7C3F7CA6" w:rsidR="00A52A59" w:rsidRPr="00A52A59" w:rsidRDefault="00A52A59" w:rsidP="00742782">
      <w:pPr>
        <w:numPr>
          <w:ilvl w:val="0"/>
          <w:numId w:val="4"/>
        </w:numPr>
        <w:jc w:val="both"/>
      </w:pPr>
      <w:r w:rsidRPr="00A52A59">
        <w:rPr>
          <w:u w:val="single"/>
        </w:rPr>
        <w:t>Spatial Filtering</w:t>
      </w:r>
      <w:r w:rsidRPr="00A52A59">
        <w:t xml:space="preserve">: Polygons were clipped to urban boundaries using OS Meridian 2 data, focusing analysis on human settlements and settlement size (O’Brien &amp; Cheshire, 2016). </w:t>
      </w:r>
      <w:r>
        <w:t>Polygon areas smaller than 1.2km</w:t>
      </w:r>
      <w:r w:rsidRPr="00A52A59">
        <w:rPr>
          <w:vertAlign w:val="superscript"/>
        </w:rPr>
        <w:t>2</w:t>
      </w:r>
      <w:r>
        <w:t xml:space="preserve"> at LA level and 0.2km</w:t>
      </w:r>
      <w:r w:rsidRPr="00A52A59">
        <w:rPr>
          <w:vertAlign w:val="superscript"/>
        </w:rPr>
        <w:t>2</w:t>
      </w:r>
      <w:r>
        <w:t xml:space="preserve"> at MSOA level were re</w:t>
      </w:r>
      <w:r w:rsidR="003C29D7">
        <w:t>moved to focus attention</w:t>
      </w:r>
      <w:r w:rsidR="0000536C">
        <w:t xml:space="preserve"> while providing recognisable features</w:t>
      </w:r>
      <w:r w:rsidR="003C29D7">
        <w:t>.</w:t>
      </w:r>
    </w:p>
    <w:p w14:paraId="47685109" w14:textId="1BBE9875" w:rsidR="00A52A59" w:rsidRPr="00A52A59" w:rsidRDefault="00A52A59" w:rsidP="00742782">
      <w:pPr>
        <w:numPr>
          <w:ilvl w:val="0"/>
          <w:numId w:val="4"/>
        </w:numPr>
        <w:jc w:val="both"/>
      </w:pPr>
      <w:r w:rsidRPr="00A52A59">
        <w:rPr>
          <w:u w:val="single"/>
        </w:rPr>
        <w:t>Generalization</w:t>
      </w:r>
      <w:r w:rsidRPr="00A52A59">
        <w:t>: Boundaries were simplified using an 80-meter tolerance to balance visual continuity with file size efficiency.</w:t>
      </w:r>
      <w:r>
        <w:t xml:space="preserve"> </w:t>
      </w:r>
    </w:p>
    <w:p w14:paraId="07F99DF0" w14:textId="26BBD1C4" w:rsidR="00A52A59" w:rsidRDefault="00A52A59" w:rsidP="00742782">
      <w:pPr>
        <w:numPr>
          <w:ilvl w:val="0"/>
          <w:numId w:val="4"/>
        </w:numPr>
        <w:jc w:val="both"/>
      </w:pPr>
      <w:r w:rsidRPr="00A52A59">
        <w:rPr>
          <w:u w:val="single"/>
        </w:rPr>
        <w:t>Performance</w:t>
      </w:r>
      <w:r w:rsidRPr="00A52A59">
        <w:t xml:space="preserve">: Final layers were reprojected to WGS84 (EPSG:4326) and converted to </w:t>
      </w:r>
      <w:r w:rsidR="0000536C">
        <w:t>GeoJSON</w:t>
      </w:r>
      <w:r w:rsidRPr="00A52A59">
        <w:t xml:space="preserve"> for Mapbox integration.</w:t>
      </w:r>
    </w:p>
    <w:p w14:paraId="3E8A6391" w14:textId="77777777" w:rsidR="0000536C" w:rsidRDefault="0000536C">
      <w:pPr>
        <w:rPr>
          <w:rStyle w:val="Heading3Char"/>
          <w:b/>
        </w:rPr>
      </w:pPr>
      <w:r>
        <w:rPr>
          <w:rStyle w:val="Heading3Char"/>
          <w:b/>
        </w:rPr>
        <w:br w:type="page"/>
      </w:r>
    </w:p>
    <w:p w14:paraId="161A140A" w14:textId="1DCF8E14" w:rsidR="003C29D7" w:rsidRDefault="003C29D7" w:rsidP="00742782">
      <w:pPr>
        <w:jc w:val="both"/>
        <w:rPr>
          <w:b/>
          <w:bCs/>
        </w:rPr>
      </w:pPr>
      <w:r w:rsidRPr="00A52A59">
        <w:rPr>
          <w:rStyle w:val="Heading3Char"/>
          <w:b/>
        </w:rPr>
        <w:lastRenderedPageBreak/>
        <w:t>Cartographic Aspects</w:t>
      </w:r>
    </w:p>
    <w:p w14:paraId="58951BAC" w14:textId="75995335" w:rsidR="003C29D7" w:rsidRPr="003C29D7" w:rsidRDefault="003C29D7" w:rsidP="00742782">
      <w:pPr>
        <w:jc w:val="both"/>
        <w:rPr>
          <w:i/>
          <w:iCs/>
        </w:rPr>
      </w:pPr>
      <w:r w:rsidRPr="003C29D7">
        <w:rPr>
          <w:i/>
          <w:iCs/>
        </w:rPr>
        <w:t>Visual Design and Interactivity</w:t>
      </w:r>
    </w:p>
    <w:p w14:paraId="6B536F8C" w14:textId="1D901861" w:rsidR="003C29D7" w:rsidRPr="003C29D7" w:rsidRDefault="003C29D7" w:rsidP="00742782">
      <w:pPr>
        <w:jc w:val="both"/>
      </w:pPr>
      <w:r>
        <w:t>The map was created using Mapbox</w:t>
      </w:r>
      <w:r w:rsidR="00D24D11">
        <w:t xml:space="preserve"> GL JS</w:t>
      </w:r>
      <w:r>
        <w:t>, with a</w:t>
      </w:r>
      <w:r w:rsidRPr="003C29D7">
        <w:t xml:space="preserve"> dark-mode basemap</w:t>
      </w:r>
      <w:r w:rsidR="00350B8D">
        <w:t>. High</w:t>
      </w:r>
      <w:r w:rsidRPr="003C29D7">
        <w:t xml:space="preserve"> luminosity data layers</w:t>
      </w:r>
      <w:r w:rsidR="006F5447">
        <w:t xml:space="preserve"> </w:t>
      </w:r>
      <w:r w:rsidR="00350B8D">
        <w:t xml:space="preserve">were used to improve contrast </w:t>
      </w:r>
      <w:r w:rsidR="006F5447">
        <w:t xml:space="preserve">and </w:t>
      </w:r>
      <w:r w:rsidR="00350B8D">
        <w:t>retain</w:t>
      </w:r>
      <w:r w:rsidR="006F5447">
        <w:t xml:space="preserve"> visual hierarchy.</w:t>
      </w:r>
      <w:r w:rsidRPr="003C29D7">
        <w:t xml:space="preserve"> A diverging colour scheme (tested for colour-blind accessibility) distinguishes between high and low consumption tiers, providing an intuitive sense of "energy intensity."</w:t>
      </w:r>
    </w:p>
    <w:p w14:paraId="7AEB346F" w14:textId="2BDC7E8A" w:rsidR="003C29D7" w:rsidRDefault="003C29D7" w:rsidP="00742782">
      <w:pPr>
        <w:jc w:val="both"/>
      </w:pPr>
      <w:r w:rsidRPr="003C29D7">
        <w:t xml:space="preserve">Interactivity </w:t>
      </w:r>
      <w:r>
        <w:t>was</w:t>
      </w:r>
      <w:r w:rsidRPr="003C29D7">
        <w:t xml:space="preserve"> used to </w:t>
      </w:r>
      <w:r w:rsidR="003A2FF5">
        <w:t>improve user experience and provide</w:t>
      </w:r>
      <w:r w:rsidRPr="003C29D7">
        <w:t xml:space="preserve"> insights:</w:t>
      </w:r>
    </w:p>
    <w:p w14:paraId="7DADC831" w14:textId="38CBA30D" w:rsidR="003A2FF5" w:rsidRPr="003C29D7" w:rsidRDefault="003A2FF5" w:rsidP="003A2FF5">
      <w:pPr>
        <w:pStyle w:val="ListParagraph"/>
        <w:numPr>
          <w:ilvl w:val="0"/>
          <w:numId w:val="7"/>
        </w:numPr>
        <w:jc w:val="both"/>
      </w:pPr>
      <w:r>
        <w:t xml:space="preserve">Landing page: </w:t>
      </w:r>
      <w:r w:rsidR="0000536C">
        <w:t>Introduces objectives and functions.</w:t>
      </w:r>
    </w:p>
    <w:p w14:paraId="2C4779CA" w14:textId="77777777" w:rsidR="003C29D7" w:rsidRPr="003C29D7" w:rsidRDefault="003C29D7" w:rsidP="006F5447">
      <w:pPr>
        <w:numPr>
          <w:ilvl w:val="0"/>
          <w:numId w:val="7"/>
        </w:numPr>
        <w:jc w:val="both"/>
      </w:pPr>
      <w:r w:rsidRPr="003C29D7">
        <w:t>Exploration: Users toggle between fuel types and years via UI widgets, triggering real-time filter updates.</w:t>
      </w:r>
    </w:p>
    <w:p w14:paraId="4D1810C6" w14:textId="697F1432" w:rsidR="003C29D7" w:rsidRPr="003C29D7" w:rsidRDefault="003C29D7" w:rsidP="006F5447">
      <w:pPr>
        <w:numPr>
          <w:ilvl w:val="0"/>
          <w:numId w:val="7"/>
        </w:numPr>
        <w:jc w:val="both"/>
      </w:pPr>
      <w:r w:rsidRPr="003C29D7">
        <w:t xml:space="preserve">Feedback: </w:t>
      </w:r>
      <w:r w:rsidR="0000536C">
        <w:t>H</w:t>
      </w:r>
      <w:r w:rsidRPr="003C29D7">
        <w:t>igh-contrast off-white highlight layer provides visual feedback on mouseover.</w:t>
      </w:r>
      <w:r>
        <w:t xml:space="preserve"> </w:t>
      </w:r>
      <w:r w:rsidR="007E21EA">
        <w:t>S</w:t>
      </w:r>
      <w:r>
        <w:t xml:space="preserve">idebar widget provides information on the average consumption values for the </w:t>
      </w:r>
      <w:r w:rsidR="006F5447">
        <w:t>selected fuel</w:t>
      </w:r>
      <w:r>
        <w:t xml:space="preserve"> type and year.</w:t>
      </w:r>
    </w:p>
    <w:p w14:paraId="4E30CCBD" w14:textId="5B24760C" w:rsidR="006556F7" w:rsidRDefault="003C29D7" w:rsidP="006F5447">
      <w:pPr>
        <w:numPr>
          <w:ilvl w:val="0"/>
          <w:numId w:val="7"/>
        </w:numPr>
        <w:jc w:val="both"/>
      </w:pPr>
      <w:r w:rsidRPr="003C29D7">
        <w:t xml:space="preserve">Deep Dive: The point-and-click function triggers popups containing dual charts. A line chart visualizes the 10-year consumption trend, while a horizontal bar chart compares localized EPC groupings against national averages, offering a benchmark of domestic </w:t>
      </w:r>
      <w:r>
        <w:t xml:space="preserve">energy </w:t>
      </w:r>
      <w:r w:rsidRPr="003C29D7">
        <w:t>efficiency.</w:t>
      </w:r>
    </w:p>
    <w:p w14:paraId="59C86199" w14:textId="77777777" w:rsidR="0096344F" w:rsidRDefault="0096344F" w:rsidP="0096344F">
      <w:pPr>
        <w:ind w:left="720"/>
        <w:jc w:val="both"/>
      </w:pPr>
    </w:p>
    <w:p w14:paraId="2BC5B8AC" w14:textId="7D753C14" w:rsidR="003A2FF5" w:rsidRDefault="003A2FF5" w:rsidP="003A2FF5">
      <w:pPr>
        <w:jc w:val="both"/>
      </w:pPr>
      <w:r w:rsidRPr="003A2FF5">
        <w:rPr>
          <w:noProof/>
        </w:rPr>
        <w:drawing>
          <wp:inline distT="0" distB="0" distL="0" distR="0" wp14:anchorId="158ECC5F" wp14:editId="185AF5BB">
            <wp:extent cx="5836920" cy="3141345"/>
            <wp:effectExtent l="0" t="0" r="0" b="1905"/>
            <wp:docPr id="171975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9708" name=""/>
                    <pic:cNvPicPr/>
                  </pic:nvPicPr>
                  <pic:blipFill>
                    <a:blip r:embed="rId9">
                      <a:extLst>
                        <a:ext uri="{BEBA8EAE-BF5A-486C-A8C5-ECC9F3942E4B}">
                          <a14:imgProps xmlns:a14="http://schemas.microsoft.com/office/drawing/2010/main">
                            <a14:imgLayer r:embed="rId10">
                              <a14:imgEffect>
                                <a14:brightnessContrast bright="10000"/>
                              </a14:imgEffect>
                            </a14:imgLayer>
                          </a14:imgProps>
                        </a:ext>
                      </a:extLst>
                    </a:blip>
                    <a:stretch>
                      <a:fillRect/>
                    </a:stretch>
                  </pic:blipFill>
                  <pic:spPr>
                    <a:xfrm>
                      <a:off x="0" y="0"/>
                      <a:ext cx="5836920" cy="3141345"/>
                    </a:xfrm>
                    <a:prstGeom prst="rect">
                      <a:avLst/>
                    </a:prstGeom>
                  </pic:spPr>
                </pic:pic>
              </a:graphicData>
            </a:graphic>
          </wp:inline>
        </w:drawing>
      </w:r>
    </w:p>
    <w:p w14:paraId="15F99C4B" w14:textId="081D0203" w:rsidR="003A2FF5" w:rsidRPr="00894926" w:rsidRDefault="003A2FF5" w:rsidP="003A2FF5">
      <w:pPr>
        <w:jc w:val="center"/>
        <w:rPr>
          <w:i/>
          <w:iCs/>
        </w:rPr>
      </w:pPr>
      <w:r w:rsidRPr="00894926">
        <w:rPr>
          <w:i/>
          <w:iCs/>
        </w:rPr>
        <w:t xml:space="preserve">Figure </w:t>
      </w:r>
      <w:r>
        <w:rPr>
          <w:i/>
          <w:iCs/>
        </w:rPr>
        <w:t>3: Landing page to provide</w:t>
      </w:r>
      <w:r w:rsidR="009D6382">
        <w:rPr>
          <w:i/>
          <w:iCs/>
        </w:rPr>
        <w:t xml:space="preserve"> guiding</w:t>
      </w:r>
      <w:r>
        <w:rPr>
          <w:i/>
          <w:iCs/>
        </w:rPr>
        <w:t xml:space="preserve"> instructions to user </w:t>
      </w:r>
    </w:p>
    <w:p w14:paraId="31E6B169" w14:textId="55C15333" w:rsidR="004D288E" w:rsidRDefault="0096344F" w:rsidP="00742782">
      <w:pPr>
        <w:jc w:val="both"/>
      </w:pPr>
      <w:r w:rsidRPr="0096344F">
        <w:lastRenderedPageBreak/>
        <w:drawing>
          <wp:inline distT="0" distB="0" distL="0" distR="0" wp14:anchorId="74A1ADC1" wp14:editId="3CF5854C">
            <wp:extent cx="5836920" cy="3192145"/>
            <wp:effectExtent l="0" t="0" r="0" b="8255"/>
            <wp:docPr id="207296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4283" name=""/>
                    <pic:cNvPicPr/>
                  </pic:nvPicPr>
                  <pic:blipFill>
                    <a:blip r:embed="rId11">
                      <a:extLst>
                        <a:ext uri="{BEBA8EAE-BF5A-486C-A8C5-ECC9F3942E4B}">
                          <a14:imgProps xmlns:a14="http://schemas.microsoft.com/office/drawing/2010/main">
                            <a14:imgLayer r:embed="rId12">
                              <a14:imgEffect>
                                <a14:brightnessContrast bright="10000"/>
                              </a14:imgEffect>
                            </a14:imgLayer>
                          </a14:imgProps>
                        </a:ext>
                      </a:extLst>
                    </a:blip>
                    <a:stretch>
                      <a:fillRect/>
                    </a:stretch>
                  </pic:blipFill>
                  <pic:spPr>
                    <a:xfrm>
                      <a:off x="0" y="0"/>
                      <a:ext cx="5836920" cy="3192145"/>
                    </a:xfrm>
                    <a:prstGeom prst="rect">
                      <a:avLst/>
                    </a:prstGeom>
                  </pic:spPr>
                </pic:pic>
              </a:graphicData>
            </a:graphic>
          </wp:inline>
        </w:drawing>
      </w:r>
    </w:p>
    <w:p w14:paraId="3717E35F" w14:textId="46FAC2E3" w:rsidR="004D288E" w:rsidRPr="00894926" w:rsidRDefault="004D288E" w:rsidP="004D288E">
      <w:pPr>
        <w:jc w:val="center"/>
        <w:rPr>
          <w:i/>
          <w:iCs/>
        </w:rPr>
      </w:pPr>
      <w:r w:rsidRPr="00894926">
        <w:rPr>
          <w:i/>
          <w:iCs/>
        </w:rPr>
        <w:t xml:space="preserve">Figure </w:t>
      </w:r>
      <w:r w:rsidR="003A2FF5">
        <w:rPr>
          <w:i/>
          <w:iCs/>
        </w:rPr>
        <w:t>4</w:t>
      </w:r>
      <w:r>
        <w:rPr>
          <w:i/>
          <w:iCs/>
        </w:rPr>
        <w:t xml:space="preserve">: </w:t>
      </w:r>
      <w:r w:rsidR="003A2FF5">
        <w:rPr>
          <w:i/>
          <w:iCs/>
        </w:rPr>
        <w:t>Dropdown function to toggle fuel</w:t>
      </w:r>
      <w:r>
        <w:rPr>
          <w:i/>
          <w:iCs/>
        </w:rPr>
        <w:t xml:space="preserve"> consumption </w:t>
      </w:r>
      <w:r w:rsidR="003A2FF5">
        <w:rPr>
          <w:i/>
          <w:iCs/>
        </w:rPr>
        <w:t>type</w:t>
      </w:r>
    </w:p>
    <w:p w14:paraId="283F45E8" w14:textId="5F59E618" w:rsidR="00CF77D1" w:rsidRPr="000B2137" w:rsidRDefault="00CF77D1" w:rsidP="00742782">
      <w:pPr>
        <w:pStyle w:val="Heading2"/>
        <w:jc w:val="both"/>
        <w:rPr>
          <w:b/>
        </w:rPr>
      </w:pPr>
      <w:r w:rsidRPr="000B2137">
        <w:rPr>
          <w:b/>
        </w:rPr>
        <w:t xml:space="preserve">Limitations and Improvements </w:t>
      </w:r>
    </w:p>
    <w:p w14:paraId="667A5E3A" w14:textId="1D5EB36E" w:rsidR="003C29D7" w:rsidRDefault="00350B8D" w:rsidP="006F5447">
      <w:pPr>
        <w:jc w:val="both"/>
      </w:pPr>
      <w:r>
        <w:t xml:space="preserve">Given limitations </w:t>
      </w:r>
      <w:r w:rsidR="0096344F">
        <w:t>in functionality with the</w:t>
      </w:r>
      <w:r>
        <w:t xml:space="preserve"> customisation of place-label colour in Mapbox Studio Standard basemap to improve contrast, </w:t>
      </w:r>
      <w:r w:rsidR="0096344F">
        <w:t xml:space="preserve">an alternative basemap (Mapbox Dark v11) was chosen which allowed place labels to be brightened to improve </w:t>
      </w:r>
      <w:r w:rsidR="003C29D7" w:rsidRPr="000B2137">
        <w:t>legibility in high</w:t>
      </w:r>
      <w:r w:rsidR="0000536C">
        <w:t>er</w:t>
      </w:r>
      <w:r w:rsidR="003C29D7" w:rsidRPr="000B2137">
        <w:t>-density areas.</w:t>
      </w:r>
      <w:r w:rsidR="00C34555">
        <w:t xml:space="preserve"> </w:t>
      </w:r>
      <w:r w:rsidR="003C29D7" w:rsidRPr="003C29D7">
        <w:t>Future iterations could incorporate Ofgem price data and household income estimates to map "energy burden"</w:t>
      </w:r>
      <w:r w:rsidR="003C29D7">
        <w:t xml:space="preserve">, </w:t>
      </w:r>
      <w:r w:rsidR="003C29D7" w:rsidRPr="003C29D7">
        <w:t xml:space="preserve">the percentage of </w:t>
      </w:r>
      <w:r w:rsidR="006F5447">
        <w:t xml:space="preserve">household </w:t>
      </w:r>
      <w:r w:rsidR="003C29D7" w:rsidRPr="003C29D7">
        <w:t xml:space="preserve">income spent on </w:t>
      </w:r>
      <w:r w:rsidR="006F5447">
        <w:t>total energy cost</w:t>
      </w:r>
      <w:r w:rsidR="003C29D7">
        <w:t xml:space="preserve">, </w:t>
      </w:r>
      <w:r w:rsidR="003C29D7" w:rsidRPr="003C29D7">
        <w:t xml:space="preserve">providing a </w:t>
      </w:r>
      <w:r w:rsidR="003C29D7">
        <w:t xml:space="preserve">more </w:t>
      </w:r>
      <w:r w:rsidR="003C29D7" w:rsidRPr="003C29D7">
        <w:t>direct metric for</w:t>
      </w:r>
      <w:r w:rsidR="003C29D7" w:rsidRPr="000B2137">
        <w:t xml:space="preserve"> urban social justice and policy intervention.</w:t>
      </w:r>
    </w:p>
    <w:p w14:paraId="4E871C09" w14:textId="77777777" w:rsidR="0096344F" w:rsidRPr="000B2137" w:rsidRDefault="0096344F" w:rsidP="006F5447">
      <w:pPr>
        <w:jc w:val="both"/>
      </w:pPr>
    </w:p>
    <w:p w14:paraId="00062011" w14:textId="489B025B" w:rsidR="00CF77D1" w:rsidRDefault="00CF77D1" w:rsidP="00742782">
      <w:pPr>
        <w:pStyle w:val="Heading2"/>
        <w:jc w:val="both"/>
      </w:pPr>
      <w:r w:rsidRPr="00742782">
        <w:rPr>
          <w:b/>
        </w:rPr>
        <w:t>References</w:t>
      </w:r>
    </w:p>
    <w:p w14:paraId="7BFE900D" w14:textId="77777777" w:rsidR="00894926" w:rsidRPr="00894926" w:rsidRDefault="00894926" w:rsidP="00894926">
      <w:pPr>
        <w:pStyle w:val="Bibliography"/>
        <w:spacing w:after="0"/>
        <w:rPr>
          <w:rFonts w:asciiTheme="majorHAnsi" w:hAnsiTheme="majorHAnsi" w:cs="Calibri"/>
        </w:rPr>
      </w:pPr>
      <w:r w:rsidRPr="00894926">
        <w:rPr>
          <w:rFonts w:asciiTheme="majorHAnsi" w:hAnsiTheme="majorHAnsi" w:cs="Calibri"/>
        </w:rPr>
        <w:t xml:space="preserve">O’Brien O, Cheshire J, 2016, “Interactive mapping for large, open demographic data sets using familiar geographical features” </w:t>
      </w:r>
      <w:r w:rsidRPr="00894926">
        <w:rPr>
          <w:rFonts w:asciiTheme="majorHAnsi" w:hAnsiTheme="majorHAnsi" w:cs="Calibri"/>
          <w:i/>
          <w:iCs/>
        </w:rPr>
        <w:t>Journal of Maps</w:t>
      </w:r>
      <w:r w:rsidRPr="00894926">
        <w:rPr>
          <w:rFonts w:asciiTheme="majorHAnsi" w:hAnsiTheme="majorHAnsi" w:cs="Calibri"/>
        </w:rPr>
        <w:t xml:space="preserve"> 12(4) 676–683</w:t>
      </w:r>
    </w:p>
    <w:p w14:paraId="5E26F02A" w14:textId="77777777" w:rsidR="00894926" w:rsidRDefault="00894926" w:rsidP="00894926">
      <w:pPr>
        <w:spacing w:after="0"/>
        <w:jc w:val="both"/>
        <w:rPr>
          <w:rFonts w:asciiTheme="majorHAnsi" w:hAnsiTheme="majorHAnsi"/>
        </w:rPr>
      </w:pPr>
    </w:p>
    <w:p w14:paraId="1032F570" w14:textId="13772DDB" w:rsidR="00894926" w:rsidRPr="00894926" w:rsidRDefault="00894926" w:rsidP="00894926">
      <w:pPr>
        <w:spacing w:after="0"/>
        <w:jc w:val="both"/>
        <w:rPr>
          <w:rFonts w:asciiTheme="majorHAnsi" w:hAnsiTheme="majorHAnsi"/>
        </w:rPr>
      </w:pPr>
      <w:r w:rsidRPr="00894926">
        <w:rPr>
          <w:rFonts w:asciiTheme="majorHAnsi" w:hAnsiTheme="majorHAnsi"/>
        </w:rPr>
        <w:t>DLUHC (2025) Energy</w:t>
      </w:r>
      <w:r>
        <w:rPr>
          <w:rFonts w:asciiTheme="majorHAnsi" w:hAnsiTheme="majorHAnsi"/>
        </w:rPr>
        <w:t xml:space="preserve"> </w:t>
      </w:r>
      <w:r w:rsidRPr="00894926">
        <w:rPr>
          <w:rFonts w:asciiTheme="majorHAnsi" w:hAnsiTheme="majorHAnsi"/>
        </w:rPr>
        <w:t xml:space="preserve">Performance of Buildings Data England and Wales. Available at: </w:t>
      </w:r>
      <w:hyperlink r:id="rId13" w:history="1">
        <w:r w:rsidRPr="00894926">
          <w:rPr>
            <w:rStyle w:val="Hyperlink"/>
            <w:rFonts w:asciiTheme="majorHAnsi" w:hAnsiTheme="majorHAnsi"/>
          </w:rPr>
          <w:t>https://epc.opendatacommunities.org/</w:t>
        </w:r>
      </w:hyperlink>
      <w:r w:rsidRPr="00894926">
        <w:rPr>
          <w:rFonts w:asciiTheme="majorHAnsi" w:hAnsiTheme="majorHAnsi"/>
        </w:rPr>
        <w:t xml:space="preserve">. </w:t>
      </w:r>
    </w:p>
    <w:p w14:paraId="088CA07C" w14:textId="77777777" w:rsidR="00894926" w:rsidRDefault="00894926" w:rsidP="00894926">
      <w:pPr>
        <w:spacing w:after="0"/>
        <w:jc w:val="both"/>
        <w:rPr>
          <w:rFonts w:asciiTheme="majorHAnsi" w:hAnsiTheme="majorHAnsi"/>
        </w:rPr>
      </w:pPr>
    </w:p>
    <w:p w14:paraId="36B687F3" w14:textId="248DDDA4" w:rsidR="00894926" w:rsidRDefault="003A2FF5" w:rsidP="00894926">
      <w:pPr>
        <w:spacing w:after="0"/>
        <w:jc w:val="both"/>
        <w:rPr>
          <w:rFonts w:asciiTheme="majorHAnsi" w:hAnsiTheme="majorHAnsi"/>
        </w:rPr>
      </w:pPr>
      <w:r w:rsidRPr="003A2FF5">
        <w:rPr>
          <w:rFonts w:asciiTheme="majorHAnsi" w:hAnsiTheme="majorHAnsi"/>
        </w:rPr>
        <w:t xml:space="preserve">Department for Energy Security and Net Zero (2025a) Electricity and gas consumption estimates at MSOA level. Available at: https://www.data.gov.uk/dataset/ed629618 7b69-465d-8e0a-0546b1809fc7/electricity_and_gas_consumption_at_middle_layer_ </w:t>
      </w:r>
      <w:proofErr w:type="spellStart"/>
      <w:r w:rsidRPr="003A2FF5">
        <w:rPr>
          <w:rFonts w:asciiTheme="majorHAnsi" w:hAnsiTheme="majorHAnsi"/>
        </w:rPr>
        <w:t>super_output_area_mlsoa_and_intermediate_geography_z</w:t>
      </w:r>
      <w:proofErr w:type="spellEnd"/>
      <w:r w:rsidRPr="003A2FF5">
        <w:rPr>
          <w:rFonts w:asciiTheme="majorHAnsi" w:hAnsiTheme="majorHAnsi"/>
        </w:rPr>
        <w:t xml:space="preserve"> (Accessed: 27 December 2025).</w:t>
      </w:r>
      <w:r>
        <w:rPr>
          <w:rFonts w:asciiTheme="majorHAnsi" w:hAnsiTheme="majorHAnsi"/>
        </w:rPr>
        <w:t xml:space="preserve"> </w:t>
      </w:r>
    </w:p>
    <w:p w14:paraId="2183FF81" w14:textId="169936BF" w:rsidR="004D288E" w:rsidRDefault="004D288E" w:rsidP="004D288E">
      <w:pPr>
        <w:pStyle w:val="Heading2"/>
        <w:jc w:val="both"/>
        <w:rPr>
          <w:b/>
        </w:rPr>
      </w:pPr>
      <w:r w:rsidRPr="004D288E">
        <w:rPr>
          <w:b/>
        </w:rPr>
        <w:t xml:space="preserve">GitHub Code </w:t>
      </w:r>
    </w:p>
    <w:p w14:paraId="7D3E0650" w14:textId="23A6D8DF" w:rsidR="004D288E" w:rsidRPr="004D288E" w:rsidRDefault="003A2FF5" w:rsidP="004D288E">
      <w:r>
        <w:t>S</w:t>
      </w:r>
      <w:r w:rsidR="004D288E">
        <w:t xml:space="preserve">ource code available at: </w:t>
      </w:r>
      <w:hyperlink r:id="rId14" w:history="1">
        <w:r w:rsidR="004D288E" w:rsidRPr="00D37CB7">
          <w:rPr>
            <w:rStyle w:val="Hyperlink"/>
          </w:rPr>
          <w:t>https://github.com/benjamintee/CASA_UDV_Assessment</w:t>
        </w:r>
      </w:hyperlink>
      <w:r w:rsidR="004D288E">
        <w:t xml:space="preserve"> </w:t>
      </w:r>
      <w:hyperlink r:id="rId15" w:history="1">
        <w:r w:rsidRPr="00D37CB7">
          <w:rPr>
            <w:rStyle w:val="Hyperlink"/>
          </w:rPr>
          <w:t>https://benjamintee.github.io/CASA_UDV_Assessment/Energy_Consumption.html</w:t>
        </w:r>
      </w:hyperlink>
      <w:r w:rsidR="004D288E">
        <w:t xml:space="preserve"> </w:t>
      </w:r>
    </w:p>
    <w:sectPr w:rsidR="004D288E" w:rsidRPr="004D288E" w:rsidSect="00B27814">
      <w:pgSz w:w="11906" w:h="16838"/>
      <w:pgMar w:top="1135" w:right="1274"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41CE"/>
    <w:multiLevelType w:val="hybridMultilevel"/>
    <w:tmpl w:val="846804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4F0F99"/>
    <w:multiLevelType w:val="multilevel"/>
    <w:tmpl w:val="421C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302EEA"/>
    <w:multiLevelType w:val="hybridMultilevel"/>
    <w:tmpl w:val="C8D418E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55805C83"/>
    <w:multiLevelType w:val="multilevel"/>
    <w:tmpl w:val="B336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045C56"/>
    <w:multiLevelType w:val="hybridMultilevel"/>
    <w:tmpl w:val="36D29BD6"/>
    <w:lvl w:ilvl="0" w:tplc="22E87878">
      <w:start w:val="2"/>
      <w:numFmt w:val="bullet"/>
      <w:lvlText w:val="-"/>
      <w:lvlJc w:val="left"/>
      <w:pPr>
        <w:ind w:left="720" w:hanging="360"/>
      </w:pPr>
      <w:rPr>
        <w:rFonts w:ascii="Aptos" w:eastAsiaTheme="minorHAnsi" w:hAnsi="Apto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8336E48"/>
    <w:multiLevelType w:val="hybridMultilevel"/>
    <w:tmpl w:val="F25423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C463A0A"/>
    <w:multiLevelType w:val="multilevel"/>
    <w:tmpl w:val="1C3472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5024513">
    <w:abstractNumId w:val="0"/>
  </w:num>
  <w:num w:numId="2" w16cid:durableId="1309944798">
    <w:abstractNumId w:val="4"/>
  </w:num>
  <w:num w:numId="3" w16cid:durableId="5331375">
    <w:abstractNumId w:val="2"/>
  </w:num>
  <w:num w:numId="4" w16cid:durableId="811865842">
    <w:abstractNumId w:val="3"/>
  </w:num>
  <w:num w:numId="5" w16cid:durableId="238180341">
    <w:abstractNumId w:val="1"/>
  </w:num>
  <w:num w:numId="6" w16cid:durableId="1796949005">
    <w:abstractNumId w:val="5"/>
  </w:num>
  <w:num w:numId="7" w16cid:durableId="10997137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AE5"/>
    <w:rsid w:val="0000536C"/>
    <w:rsid w:val="00021254"/>
    <w:rsid w:val="000B2137"/>
    <w:rsid w:val="001141D8"/>
    <w:rsid w:val="001165F9"/>
    <w:rsid w:val="00243345"/>
    <w:rsid w:val="00263618"/>
    <w:rsid w:val="002A1005"/>
    <w:rsid w:val="002C1495"/>
    <w:rsid w:val="003202D6"/>
    <w:rsid w:val="00350B8D"/>
    <w:rsid w:val="003A29BE"/>
    <w:rsid w:val="003A2FF5"/>
    <w:rsid w:val="003C29D7"/>
    <w:rsid w:val="004D288E"/>
    <w:rsid w:val="00514152"/>
    <w:rsid w:val="005E1C70"/>
    <w:rsid w:val="006556F7"/>
    <w:rsid w:val="006F5447"/>
    <w:rsid w:val="00742782"/>
    <w:rsid w:val="007C6491"/>
    <w:rsid w:val="007E21EA"/>
    <w:rsid w:val="00894926"/>
    <w:rsid w:val="0096344F"/>
    <w:rsid w:val="009D6382"/>
    <w:rsid w:val="00A30915"/>
    <w:rsid w:val="00A52A59"/>
    <w:rsid w:val="00A71AE5"/>
    <w:rsid w:val="00B27814"/>
    <w:rsid w:val="00B430CA"/>
    <w:rsid w:val="00C34555"/>
    <w:rsid w:val="00C806CB"/>
    <w:rsid w:val="00CF77D1"/>
    <w:rsid w:val="00D24D11"/>
    <w:rsid w:val="00FC502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AC4AB"/>
  <w15:chartTrackingRefBased/>
  <w15:docId w15:val="{93A78388-9C3D-4FEC-98D5-890ABD595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88E"/>
  </w:style>
  <w:style w:type="paragraph" w:styleId="Heading1">
    <w:name w:val="heading 1"/>
    <w:basedOn w:val="Normal"/>
    <w:next w:val="Normal"/>
    <w:link w:val="Heading1Char"/>
    <w:uiPriority w:val="9"/>
    <w:qFormat/>
    <w:rsid w:val="00A71A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71A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1A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1A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1A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1A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1A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1A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1A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71A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71A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1A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1A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1A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1A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1A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1AE5"/>
    <w:rPr>
      <w:rFonts w:eastAsiaTheme="majorEastAsia" w:cstheme="majorBidi"/>
      <w:color w:val="272727" w:themeColor="text1" w:themeTint="D8"/>
    </w:rPr>
  </w:style>
  <w:style w:type="paragraph" w:styleId="Title">
    <w:name w:val="Title"/>
    <w:basedOn w:val="Normal"/>
    <w:next w:val="Normal"/>
    <w:link w:val="TitleChar"/>
    <w:uiPriority w:val="10"/>
    <w:qFormat/>
    <w:rsid w:val="00A71A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A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1A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1A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1AE5"/>
    <w:pPr>
      <w:spacing w:before="160"/>
      <w:jc w:val="center"/>
    </w:pPr>
    <w:rPr>
      <w:i/>
      <w:iCs/>
      <w:color w:val="404040" w:themeColor="text1" w:themeTint="BF"/>
    </w:rPr>
  </w:style>
  <w:style w:type="character" w:customStyle="1" w:styleId="QuoteChar">
    <w:name w:val="Quote Char"/>
    <w:basedOn w:val="DefaultParagraphFont"/>
    <w:link w:val="Quote"/>
    <w:uiPriority w:val="29"/>
    <w:rsid w:val="00A71AE5"/>
    <w:rPr>
      <w:i/>
      <w:iCs/>
      <w:color w:val="404040" w:themeColor="text1" w:themeTint="BF"/>
    </w:rPr>
  </w:style>
  <w:style w:type="paragraph" w:styleId="ListParagraph">
    <w:name w:val="List Paragraph"/>
    <w:basedOn w:val="Normal"/>
    <w:uiPriority w:val="34"/>
    <w:qFormat/>
    <w:rsid w:val="00A71AE5"/>
    <w:pPr>
      <w:ind w:left="720"/>
      <w:contextualSpacing/>
    </w:pPr>
  </w:style>
  <w:style w:type="character" w:styleId="IntenseEmphasis">
    <w:name w:val="Intense Emphasis"/>
    <w:basedOn w:val="DefaultParagraphFont"/>
    <w:uiPriority w:val="21"/>
    <w:qFormat/>
    <w:rsid w:val="00A71AE5"/>
    <w:rPr>
      <w:i/>
      <w:iCs/>
      <w:color w:val="0F4761" w:themeColor="accent1" w:themeShade="BF"/>
    </w:rPr>
  </w:style>
  <w:style w:type="paragraph" w:styleId="IntenseQuote">
    <w:name w:val="Intense Quote"/>
    <w:basedOn w:val="Normal"/>
    <w:next w:val="Normal"/>
    <w:link w:val="IntenseQuoteChar"/>
    <w:uiPriority w:val="30"/>
    <w:qFormat/>
    <w:rsid w:val="00A71A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1AE5"/>
    <w:rPr>
      <w:i/>
      <w:iCs/>
      <w:color w:val="0F4761" w:themeColor="accent1" w:themeShade="BF"/>
    </w:rPr>
  </w:style>
  <w:style w:type="character" w:styleId="IntenseReference">
    <w:name w:val="Intense Reference"/>
    <w:basedOn w:val="DefaultParagraphFont"/>
    <w:uiPriority w:val="32"/>
    <w:qFormat/>
    <w:rsid w:val="00A71AE5"/>
    <w:rPr>
      <w:b/>
      <w:bCs/>
      <w:smallCaps/>
      <w:color w:val="0F4761" w:themeColor="accent1" w:themeShade="BF"/>
      <w:spacing w:val="5"/>
    </w:rPr>
  </w:style>
  <w:style w:type="paragraph" w:styleId="Bibliography">
    <w:name w:val="Bibliography"/>
    <w:basedOn w:val="Normal"/>
    <w:next w:val="Normal"/>
    <w:uiPriority w:val="37"/>
    <w:semiHidden/>
    <w:unhideWhenUsed/>
    <w:rsid w:val="00894926"/>
  </w:style>
  <w:style w:type="character" w:styleId="Hyperlink">
    <w:name w:val="Hyperlink"/>
    <w:basedOn w:val="DefaultParagraphFont"/>
    <w:uiPriority w:val="99"/>
    <w:unhideWhenUsed/>
    <w:rsid w:val="00894926"/>
    <w:rPr>
      <w:color w:val="467886" w:themeColor="hyperlink"/>
      <w:u w:val="single"/>
    </w:rPr>
  </w:style>
  <w:style w:type="character" w:styleId="UnresolvedMention">
    <w:name w:val="Unresolved Mention"/>
    <w:basedOn w:val="DefaultParagraphFont"/>
    <w:uiPriority w:val="99"/>
    <w:semiHidden/>
    <w:unhideWhenUsed/>
    <w:rsid w:val="00894926"/>
    <w:rPr>
      <w:color w:val="605E5C"/>
      <w:shd w:val="clear" w:color="auto" w:fill="E1DFDD"/>
    </w:rPr>
  </w:style>
  <w:style w:type="character" w:styleId="FollowedHyperlink">
    <w:name w:val="FollowedHyperlink"/>
    <w:basedOn w:val="DefaultParagraphFont"/>
    <w:uiPriority w:val="99"/>
    <w:semiHidden/>
    <w:unhideWhenUsed/>
    <w:rsid w:val="0024334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pc.opendatacommunities.org/" TargetMode="External"/><Relationship Id="rId3" Type="http://schemas.openxmlformats.org/officeDocument/2006/relationships/styles" Target="styles.xml"/><Relationship Id="rId7" Type="http://schemas.microsoft.com/office/2007/relationships/hdphoto" Target="media/hdphoto1.wdp"/><Relationship Id="rId12" Type="http://schemas.microsoft.com/office/2007/relationships/hdphoto" Target="media/hdphoto3.wdp"/><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benjamintee.github.io/CASA_UDV_Assessment/Energy_Consumption.html" TargetMode="External"/><Relationship Id="rId10"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benjamintee/CASA_UDV_Assess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E3735-15EF-4FAA-B8D6-B92B34502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3467</TotalTime>
  <Pages>4</Pages>
  <Words>735</Words>
  <Characters>4788</Characters>
  <Application>Microsoft Office Word</Application>
  <DocSecurity>0</DocSecurity>
  <Lines>93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Tee</dc:creator>
  <cp:keywords/>
  <dc:description/>
  <cp:lastModifiedBy>Benjamin Tee</cp:lastModifiedBy>
  <cp:revision>13</cp:revision>
  <dcterms:created xsi:type="dcterms:W3CDTF">2026-01-29T16:33:00Z</dcterms:created>
  <dcterms:modified xsi:type="dcterms:W3CDTF">2026-02-05T20:41:00Z</dcterms:modified>
</cp:coreProperties>
</file>